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25 168 vom 10. Februar 2026</w:t>
      </w:r>
    </w:p>
    <w:p>
      <w:r>
        <w:t>VS Kantonsgericht, 2026-02-10, FR</w:t>
      </w:r>
    </w:p>
    <w:p>
      <w:r>
        <w:rPr>
          <w:b/>
        </w:rPr>
        <w:t xml:space="preserve">Quelle: </w:t>
      </w:r>
      <w:r>
        <w:t>https://mcp.opencaselaw.ch/entscheid/vs_gerichte_S1 25 168</w:t>
      </w:r>
    </w:p>
    <w:p>
      <w:r>
        <w:t>FR: VS_GERICHTE S1 25 168 du 10 février 2026</w:t>
      </w:r>
    </w:p>
    <w:p>
      <w:r>
        <w:t>IT: VS_GERICHTE S1 25 168 del 10 febbraio 2026</w:t>
      </w:r>
    </w:p>
    <w:p>
      <w:pPr>
        <w:pStyle w:val="Heading2"/>
      </w:pPr>
      <w:r>
        <w:t>Erwägungen</w:t>
      </w:r>
    </w:p>
    <w:p>
      <w:r>
        <w:rPr>
          <w:b/>
        </w:rPr>
        <w:t>E. 1</w:t>
      </w:r>
    </w:p>
    <w:p>
      <w:r>
        <w:t>Le recours est admis, dans la mesure où il est constaté d’office la nullité de la décision sur opposition du 18 juillet 2025, respectivement de la décision du 10 avril 2025, rendues par la Caisse de compensation du canton du Valais.</w:t>
      </w:r>
    </w:p>
    <w:p>
      <w:r>
        <w:rPr>
          <w:b/>
        </w:rPr>
        <w:t>E. 2</w:t>
      </w:r>
    </w:p>
    <w:p>
      <w:r>
        <w:t>Il n'est pas perçu de frais, ni alloué de dépens.</w:t>
      </w:r>
    </w:p>
    <w:p>
      <w:r>
        <w:rPr>
          <w:b/>
        </w:rPr>
        <w:t>E. 3</w:t>
      </w:r>
    </w:p>
    <w:p>
      <w:r>
        <w:t>L’affaire est transmise à l’Office cantonal AI du Valais comme objet de sa compétence.</w:t>
      </w:r>
    </w:p>
    <w:p>
      <w:r>
        <w:t>Sion, le 10 février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